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346"/>
        <w:tblW w:w="1013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8327"/>
      </w:tblGrid>
      <w:tr w:rsidR="00A52B08" w:rsidRPr="00A52B08" w:rsidTr="00050E94">
        <w:tc>
          <w:tcPr>
            <w:tcW w:w="1809" w:type="dxa"/>
            <w:gridSpan w:val="3"/>
          </w:tcPr>
          <w:p w:rsidR="00A52B08" w:rsidRPr="00F5277B" w:rsidRDefault="00A52B08" w:rsidP="00050E94">
            <w:pPr>
              <w:rPr>
                <w:b/>
              </w:rPr>
            </w:pPr>
            <w:bookmarkStart w:id="0" w:name="_GoBack"/>
            <w:proofErr w:type="spellStart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>Competences</w:t>
            </w:r>
            <w:proofErr w:type="spellEnd"/>
          </w:p>
        </w:tc>
        <w:tc>
          <w:tcPr>
            <w:tcW w:w="8327" w:type="dxa"/>
          </w:tcPr>
          <w:p w:rsidR="00A52B08" w:rsidRPr="00F5277B" w:rsidRDefault="00A52B08" w:rsidP="00050E94">
            <w:pPr>
              <w:rPr>
                <w:b/>
                <w:lang w:val="en-US"/>
              </w:rPr>
            </w:pPr>
            <w:r w:rsidRPr="00F5277B">
              <w:rPr>
                <w:rFonts w:ascii="ArialMT" w:hAnsi="ArialMT" w:cs="ArialMT"/>
                <w:b/>
                <w:sz w:val="20"/>
                <w:szCs w:val="20"/>
                <w:lang w:val="en-US"/>
              </w:rPr>
              <w:t>CONTENT OF TEACHING AND LEARNING</w:t>
            </w:r>
          </w:p>
        </w:tc>
      </w:tr>
      <w:tr w:rsidR="00A52B08" w:rsidRPr="00A52B08" w:rsidTr="00050E94">
        <w:tc>
          <w:tcPr>
            <w:tcW w:w="1809" w:type="dxa"/>
            <w:gridSpan w:val="3"/>
            <w:vAlign w:val="center"/>
          </w:tcPr>
          <w:p w:rsidR="00A52B08" w:rsidRPr="00F5277B" w:rsidRDefault="00A52B08" w:rsidP="00050E9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 w:rsidRPr="00F5277B">
              <w:rPr>
                <w:rFonts w:ascii="ArialMT" w:hAnsi="ArialMT" w:cs="ArialMT"/>
                <w:b/>
                <w:sz w:val="20"/>
                <w:szCs w:val="20"/>
              </w:rPr>
              <w:t>TOPIC BASED</w:t>
            </w:r>
          </w:p>
          <w:p w:rsidR="00A52B08" w:rsidRPr="00A52B08" w:rsidRDefault="00A52B08" w:rsidP="00050E94">
            <w:pPr>
              <w:jc w:val="center"/>
              <w:rPr>
                <w:lang w:val="en-US"/>
              </w:rPr>
            </w:pPr>
            <w:r w:rsidRPr="00F5277B">
              <w:rPr>
                <w:rFonts w:ascii="ArialMT" w:hAnsi="ArialMT" w:cs="ArialMT"/>
                <w:b/>
                <w:sz w:val="20"/>
                <w:szCs w:val="20"/>
              </w:rPr>
              <w:t>CONTENT</w:t>
            </w:r>
          </w:p>
        </w:tc>
        <w:tc>
          <w:tcPr>
            <w:tcW w:w="8327" w:type="dxa"/>
          </w:tcPr>
          <w:p w:rsidR="00A52B08" w:rsidRPr="00A52B08" w:rsidRDefault="00A52B08" w:rsidP="00050E9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Topics related to everyday life (personal information,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information about family, spending leisure time, etc.).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Topics related to social life (social contact with the</w:t>
            </w:r>
            <w:r w:rsid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surrounding world of daily life and professional interest).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Topics related to education (educational establishments,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comparative education)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Sociocultural topics (basic comparisons and contrasts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between Uzbekistan and target cultures, e.g. the Great</w:t>
            </w:r>
            <w:r w:rsid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Britain and the USA, Germany and Austria)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Occupation related topics: (economy, business, tourism)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and Language for Academic Purposes (study skills related</w:t>
            </w:r>
            <w:r w:rsid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topics; making presentations, </w:t>
            </w:r>
            <w:proofErr w:type="spellStart"/>
            <w:r w:rsidRPr="00050E94">
              <w:rPr>
                <w:rFonts w:ascii="ArialMT" w:hAnsi="ArialMT" w:cs="ArialMT"/>
                <w:sz w:val="20"/>
                <w:szCs w:val="20"/>
                <w:lang w:val="en-US"/>
              </w:rPr>
              <w:t>etc</w:t>
            </w:r>
            <w:proofErr w:type="spellEnd"/>
            <w:r w:rsidRPr="00050E94">
              <w:rPr>
                <w:rFonts w:ascii="ArialMT" w:hAnsi="ArialMT" w:cs="ArialMT"/>
                <w:sz w:val="20"/>
                <w:szCs w:val="20"/>
                <w:lang w:val="en-US"/>
              </w:rPr>
              <w:t>,)</w:t>
            </w:r>
          </w:p>
        </w:tc>
      </w:tr>
      <w:tr w:rsidR="00A52B08" w:rsidRPr="00A52B08" w:rsidTr="00050E94">
        <w:trPr>
          <w:cantSplit/>
          <w:trHeight w:val="1733"/>
        </w:trPr>
        <w:tc>
          <w:tcPr>
            <w:tcW w:w="534" w:type="dxa"/>
            <w:vMerge w:val="restart"/>
            <w:textDirection w:val="btLr"/>
          </w:tcPr>
          <w:p w:rsidR="00A52B08" w:rsidRPr="00F5277B" w:rsidRDefault="00A52B08" w:rsidP="00050E94">
            <w:pPr>
              <w:ind w:left="113" w:right="113"/>
              <w:jc w:val="center"/>
              <w:rPr>
                <w:b/>
                <w:lang w:val="en-US"/>
              </w:rPr>
            </w:pPr>
            <w:proofErr w:type="spellStart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>inguistic</w:t>
            </w:r>
            <w:proofErr w:type="spellEnd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 xml:space="preserve"> </w:t>
            </w:r>
            <w:proofErr w:type="spellStart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>competence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A52B08" w:rsidRPr="00F5277B" w:rsidRDefault="00A52B08" w:rsidP="00050E94">
            <w:pPr>
              <w:ind w:left="113" w:right="113"/>
              <w:jc w:val="center"/>
              <w:rPr>
                <w:b/>
                <w:lang w:val="en-US"/>
              </w:rPr>
            </w:pPr>
            <w:proofErr w:type="spellStart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>Competence</w:t>
            </w:r>
            <w:proofErr w:type="spellEnd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 xml:space="preserve"> </w:t>
            </w:r>
            <w:proofErr w:type="spellStart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>in</w:t>
            </w:r>
            <w:proofErr w:type="spellEnd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 xml:space="preserve"> </w:t>
            </w:r>
            <w:proofErr w:type="spellStart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>language</w:t>
            </w:r>
            <w:proofErr w:type="spellEnd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 xml:space="preserve"> </w:t>
            </w:r>
            <w:proofErr w:type="spellStart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708" w:type="dxa"/>
            <w:textDirection w:val="btLr"/>
          </w:tcPr>
          <w:p w:rsidR="00A52B08" w:rsidRPr="00F5277B" w:rsidRDefault="00A52B08" w:rsidP="00050E94">
            <w:pPr>
              <w:ind w:left="113" w:right="113"/>
              <w:jc w:val="center"/>
              <w:rPr>
                <w:b/>
                <w:lang w:val="en-US"/>
              </w:rPr>
            </w:pPr>
            <w:proofErr w:type="spellStart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>Listening</w:t>
            </w:r>
            <w:proofErr w:type="spellEnd"/>
          </w:p>
        </w:tc>
        <w:tc>
          <w:tcPr>
            <w:tcW w:w="8327" w:type="dxa"/>
          </w:tcPr>
          <w:p w:rsidR="00A52B08" w:rsidRPr="00A52B08" w:rsidRDefault="00A52B08" w:rsidP="00050E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Learners should be exposed to: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radio and TV </w:t>
            </w:r>
            <w:proofErr w:type="spellStart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programmes</w:t>
            </w:r>
            <w:proofErr w:type="spellEnd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on current events and</w:t>
            </w:r>
          </w:p>
          <w:p w:rsidR="00A52B08" w:rsidRPr="00A52B08" w:rsidRDefault="00A52B08" w:rsidP="00050E9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programmes</w:t>
            </w:r>
            <w:proofErr w:type="spellEnd"/>
            <w:proofErr w:type="gramEnd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related to personal and professional interests,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="00F5277B" w:rsidRPr="00A52B0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documentaries and fi </w:t>
            </w:r>
            <w:proofErr w:type="spellStart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lms</w:t>
            </w:r>
            <w:proofErr w:type="spellEnd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(e.g. National Geographic channel),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authentic specialized or professionally oriented discourses,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lectures and presentations on special and general topics,</w:t>
            </w:r>
            <w:r w:rsid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different varieties of the target language (accents),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conversations and discussions in the target language.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Skills to be developed: Listening for gist; listening for detailed</w:t>
            </w:r>
            <w:r w:rsid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understanding; listening for </w:t>
            </w:r>
            <w:proofErr w:type="spellStart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specifi</w:t>
            </w:r>
            <w:proofErr w:type="spellEnd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c points or information</w:t>
            </w:r>
          </w:p>
        </w:tc>
      </w:tr>
      <w:tr w:rsidR="00A52B08" w:rsidRPr="00A52B08" w:rsidTr="00050E94">
        <w:trPr>
          <w:cantSplit/>
          <w:trHeight w:val="1261"/>
        </w:trPr>
        <w:tc>
          <w:tcPr>
            <w:tcW w:w="534" w:type="dxa"/>
            <w:vMerge/>
            <w:textDirection w:val="btLr"/>
          </w:tcPr>
          <w:p w:rsidR="00A52B08" w:rsidRPr="00F5277B" w:rsidRDefault="00A52B08" w:rsidP="00050E94">
            <w:pPr>
              <w:ind w:left="113" w:right="113"/>
              <w:rPr>
                <w:rFonts w:ascii="ArialMT" w:hAnsi="ArialMT" w:cs="ArialM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A52B08" w:rsidRPr="00F5277B" w:rsidRDefault="00A52B08" w:rsidP="00050E94">
            <w:pPr>
              <w:ind w:left="113" w:right="113"/>
              <w:rPr>
                <w:rFonts w:ascii="ArialMT" w:hAnsi="ArialMT" w:cs="ArialMT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extDirection w:val="btLr"/>
          </w:tcPr>
          <w:p w:rsidR="00A52B08" w:rsidRPr="00F5277B" w:rsidRDefault="00A52B08" w:rsidP="00050E94">
            <w:pPr>
              <w:ind w:left="113" w:right="113"/>
              <w:jc w:val="center"/>
              <w:rPr>
                <w:b/>
                <w:lang w:val="en-US"/>
              </w:rPr>
            </w:pPr>
            <w:proofErr w:type="spellStart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>Reading</w:t>
            </w:r>
            <w:proofErr w:type="spellEnd"/>
          </w:p>
        </w:tc>
        <w:tc>
          <w:tcPr>
            <w:tcW w:w="8327" w:type="dxa"/>
          </w:tcPr>
          <w:p w:rsidR="00A52B08" w:rsidRPr="00A52B08" w:rsidRDefault="00A52B08" w:rsidP="00050E9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newspapers</w:t>
            </w:r>
            <w:proofErr w:type="gramEnd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, journals, periodicals, instructions, guidelines,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leafl</w:t>
            </w:r>
            <w:proofErr w:type="spellEnd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ets</w:t>
            </w:r>
            <w:proofErr w:type="spellEnd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, brochures, professionally oriented texts, containing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certain professional terminology, the meaning of which can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be inferred by guessing.</w:t>
            </w:r>
            <w:r w:rsid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Skills to be developed: readin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g for gist; reading for specific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information; reading for detailed understanding; reading for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F5277B">
              <w:rPr>
                <w:rFonts w:ascii="ArialMT" w:hAnsi="ArialMT" w:cs="ArialMT"/>
                <w:sz w:val="20"/>
                <w:szCs w:val="20"/>
                <w:lang w:val="en-US"/>
              </w:rPr>
              <w:t>orientation (signs, labels, etc.)</w:t>
            </w:r>
          </w:p>
        </w:tc>
      </w:tr>
      <w:tr w:rsidR="00A52B08" w:rsidRPr="00A52B08" w:rsidTr="00050E94">
        <w:trPr>
          <w:cantSplit/>
          <w:trHeight w:val="1827"/>
        </w:trPr>
        <w:tc>
          <w:tcPr>
            <w:tcW w:w="534" w:type="dxa"/>
            <w:vMerge/>
            <w:textDirection w:val="btLr"/>
          </w:tcPr>
          <w:p w:rsidR="00A52B08" w:rsidRPr="00F5277B" w:rsidRDefault="00A52B08" w:rsidP="00050E94">
            <w:pPr>
              <w:ind w:left="113" w:right="113"/>
              <w:rPr>
                <w:rFonts w:ascii="ArialMT" w:hAnsi="ArialMT" w:cs="ArialM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A52B08" w:rsidRPr="00F5277B" w:rsidRDefault="00A52B08" w:rsidP="00050E94">
            <w:pPr>
              <w:ind w:left="113" w:right="113"/>
              <w:rPr>
                <w:rFonts w:ascii="ArialMT" w:hAnsi="ArialMT" w:cs="ArialMT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extDirection w:val="btLr"/>
          </w:tcPr>
          <w:p w:rsidR="00A52B08" w:rsidRPr="00F5277B" w:rsidRDefault="00A52B08" w:rsidP="00050E94">
            <w:pPr>
              <w:ind w:left="113" w:right="113"/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proofErr w:type="spellStart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>Speaking</w:t>
            </w:r>
            <w:proofErr w:type="spellEnd"/>
          </w:p>
        </w:tc>
        <w:tc>
          <w:tcPr>
            <w:tcW w:w="8327" w:type="dxa"/>
          </w:tcPr>
          <w:p w:rsidR="00A52B08" w:rsidRPr="00A52B08" w:rsidRDefault="00A52B08" w:rsidP="00050E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Spoken Interaction: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keeping up a prepared conversation (interview, checking</w:t>
            </w:r>
          </w:p>
          <w:p w:rsidR="00A52B08" w:rsidRPr="00A52B08" w:rsidRDefault="00A52B08" w:rsidP="00050E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and </w:t>
            </w:r>
            <w:proofErr w:type="spellStart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confi</w:t>
            </w:r>
            <w:proofErr w:type="spellEnd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rming</w:t>
            </w:r>
            <w:proofErr w:type="spellEnd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information),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keeping up an unprepared conversation (while travelling,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wherever the target language is spoken),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dealing with unpredictable situations,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sharing opinions on familiar topics (books, fi </w:t>
            </w:r>
            <w:proofErr w:type="spellStart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lms</w:t>
            </w:r>
            <w:proofErr w:type="spellEnd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, music),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exchanging information on familiar and less familiar topics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debates,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negotiations about price, etc.</w:t>
            </w:r>
          </w:p>
          <w:p w:rsidR="00A52B08" w:rsidRPr="00A52B08" w:rsidRDefault="00A52B08" w:rsidP="00050E9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Spoken Production (monologue):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expressing impressions, dreams, hopes and ambitions,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making a presentation on special topics,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giving reasons and explanations for opinions and plans in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social and professional spheres,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narrating a story, describing own reactions to the plot of a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F5277B">
              <w:rPr>
                <w:rFonts w:ascii="ArialMT" w:hAnsi="ArialMT" w:cs="ArialMT"/>
                <w:sz w:val="20"/>
                <w:szCs w:val="20"/>
                <w:lang w:val="en-US"/>
              </w:rPr>
              <w:t>book and film,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summarising</w:t>
            </w:r>
            <w:proofErr w:type="spellEnd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a story or a discussion in simple terms.</w:t>
            </w:r>
          </w:p>
        </w:tc>
      </w:tr>
      <w:tr w:rsidR="00A52B08" w:rsidRPr="00A52B08" w:rsidTr="00050E94">
        <w:trPr>
          <w:cantSplit/>
          <w:trHeight w:val="936"/>
        </w:trPr>
        <w:tc>
          <w:tcPr>
            <w:tcW w:w="534" w:type="dxa"/>
            <w:vMerge/>
            <w:textDirection w:val="btLr"/>
          </w:tcPr>
          <w:p w:rsidR="00A52B08" w:rsidRPr="00A52B08" w:rsidRDefault="00A52B08" w:rsidP="00050E94">
            <w:pPr>
              <w:ind w:left="113" w:right="113"/>
              <w:rPr>
                <w:rFonts w:ascii="ArialMT" w:hAnsi="ArialMT" w:cs="ArialM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A52B08" w:rsidRPr="00A52B08" w:rsidRDefault="00A52B08" w:rsidP="00050E94">
            <w:pPr>
              <w:ind w:left="113" w:right="113"/>
              <w:rPr>
                <w:rFonts w:ascii="ArialMT" w:hAnsi="ArialMT" w:cs="ArialMT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extDirection w:val="btLr"/>
          </w:tcPr>
          <w:p w:rsidR="00A52B08" w:rsidRPr="00F5277B" w:rsidRDefault="00A52B08" w:rsidP="00050E94">
            <w:pPr>
              <w:ind w:left="113" w:right="113"/>
              <w:jc w:val="center"/>
              <w:rPr>
                <w:rFonts w:ascii="ArialMT" w:hAnsi="ArialMT" w:cs="ArialMT"/>
                <w:b/>
                <w:sz w:val="20"/>
                <w:szCs w:val="20"/>
                <w:lang w:val="en-US"/>
              </w:rPr>
            </w:pPr>
            <w:proofErr w:type="spellStart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>Writing</w:t>
            </w:r>
            <w:proofErr w:type="spellEnd"/>
          </w:p>
        </w:tc>
        <w:tc>
          <w:tcPr>
            <w:tcW w:w="8327" w:type="dxa"/>
          </w:tcPr>
          <w:p w:rsidR="00A52B08" w:rsidRPr="00A52B08" w:rsidRDefault="00A52B08" w:rsidP="00050E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US"/>
              </w:rPr>
            </w:pPr>
            <w:proofErr w:type="gramStart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business</w:t>
            </w:r>
            <w:proofErr w:type="gramEnd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letters,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business papers (application, contract, CV….),</w:t>
            </w:r>
            <w:r w:rsid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 xml:space="preserve">reports, </w:t>
            </w:r>
            <w:proofErr w:type="spellStart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eg</w:t>
            </w:r>
            <w:proofErr w:type="spellEnd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. on work experience,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reviews,</w:t>
            </w:r>
            <w:r w:rsid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essays and other assignment formats,</w:t>
            </w:r>
          </w:p>
          <w:p w:rsidR="00A52B08" w:rsidRPr="00A52B08" w:rsidRDefault="00A52B08" w:rsidP="00050E94">
            <w:pPr>
              <w:rPr>
                <w:lang w:val="en-US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summaries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of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project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works</w:t>
            </w:r>
            <w:proofErr w:type="spellEnd"/>
          </w:p>
        </w:tc>
      </w:tr>
      <w:tr w:rsidR="00A52B08" w:rsidRPr="00A52B08" w:rsidTr="00050E94">
        <w:trPr>
          <w:cantSplit/>
          <w:trHeight w:val="1403"/>
        </w:trPr>
        <w:tc>
          <w:tcPr>
            <w:tcW w:w="534" w:type="dxa"/>
            <w:vMerge/>
            <w:textDirection w:val="btLr"/>
          </w:tcPr>
          <w:p w:rsidR="00A52B08" w:rsidRPr="00A52B08" w:rsidRDefault="00A52B08" w:rsidP="00050E94">
            <w:pPr>
              <w:ind w:left="113" w:right="113"/>
              <w:rPr>
                <w:rFonts w:ascii="ArialMT" w:hAnsi="ArialMT" w:cs="ArialM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A52B08" w:rsidRPr="00A52B08" w:rsidRDefault="00A52B08" w:rsidP="00050E94">
            <w:pPr>
              <w:ind w:left="113" w:right="113"/>
              <w:rPr>
                <w:rFonts w:ascii="ArialMT" w:hAnsi="ArialMT" w:cs="ArialMT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extDirection w:val="btLr"/>
          </w:tcPr>
          <w:p w:rsidR="00A52B08" w:rsidRPr="00F5277B" w:rsidRDefault="00A52B08" w:rsidP="00050E9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proofErr w:type="spellStart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>Phonological</w:t>
            </w:r>
            <w:proofErr w:type="spellEnd"/>
          </w:p>
          <w:p w:rsidR="00A52B08" w:rsidRPr="00F5277B" w:rsidRDefault="00A52B08" w:rsidP="00050E94">
            <w:pPr>
              <w:ind w:left="113" w:right="113"/>
              <w:jc w:val="center"/>
              <w:rPr>
                <w:rFonts w:ascii="ArialMT" w:hAnsi="ArialMT" w:cs="ArialMT"/>
                <w:b/>
                <w:sz w:val="20"/>
                <w:szCs w:val="20"/>
                <w:lang w:val="en-US"/>
              </w:rPr>
            </w:pPr>
            <w:proofErr w:type="spellStart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>competence</w:t>
            </w:r>
            <w:proofErr w:type="spellEnd"/>
          </w:p>
        </w:tc>
        <w:tc>
          <w:tcPr>
            <w:tcW w:w="8327" w:type="dxa"/>
          </w:tcPr>
          <w:p w:rsidR="00A52B08" w:rsidRPr="00A52B08" w:rsidRDefault="00A52B08" w:rsidP="00050E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use of rhythm and intonation appropriate to the various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communicative types of utterances (declarative,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interrogative, negative and imperative) in professional</w:t>
            </w:r>
          </w:p>
          <w:p w:rsidR="00A52B08" w:rsidRPr="00A52B08" w:rsidRDefault="00A52B08" w:rsidP="00050E94">
            <w:pPr>
              <w:rPr>
                <w:lang w:val="en-US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communicative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settings</w:t>
            </w:r>
            <w:proofErr w:type="spellEnd"/>
          </w:p>
        </w:tc>
      </w:tr>
      <w:tr w:rsidR="00A52B08" w:rsidRPr="00A52B08" w:rsidTr="00050E94">
        <w:trPr>
          <w:cantSplit/>
          <w:trHeight w:val="1407"/>
        </w:trPr>
        <w:tc>
          <w:tcPr>
            <w:tcW w:w="534" w:type="dxa"/>
            <w:vMerge/>
            <w:textDirection w:val="btLr"/>
          </w:tcPr>
          <w:p w:rsidR="00A52B08" w:rsidRPr="00A52B08" w:rsidRDefault="00A52B08" w:rsidP="00050E94">
            <w:pPr>
              <w:ind w:left="113" w:right="113"/>
              <w:rPr>
                <w:rFonts w:ascii="ArialMT" w:hAnsi="ArialMT" w:cs="ArialM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A52B08" w:rsidRPr="00A52B08" w:rsidRDefault="00A52B08" w:rsidP="00050E94">
            <w:pPr>
              <w:ind w:left="113" w:right="113"/>
              <w:rPr>
                <w:rFonts w:ascii="ArialMT" w:hAnsi="ArialMT" w:cs="ArialMT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extDirection w:val="btLr"/>
          </w:tcPr>
          <w:p w:rsidR="00A52B08" w:rsidRPr="00F5277B" w:rsidRDefault="00A52B08" w:rsidP="00050E9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proofErr w:type="spellStart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>Lexical</w:t>
            </w:r>
            <w:proofErr w:type="spellEnd"/>
          </w:p>
          <w:p w:rsidR="00A52B08" w:rsidRPr="00F5277B" w:rsidRDefault="00A52B08" w:rsidP="00050E94">
            <w:pPr>
              <w:ind w:left="113" w:right="113"/>
              <w:jc w:val="center"/>
              <w:rPr>
                <w:rFonts w:ascii="ArialMT" w:hAnsi="ArialMT" w:cs="ArialMT"/>
                <w:b/>
                <w:sz w:val="20"/>
                <w:szCs w:val="20"/>
                <w:lang w:val="en-US"/>
              </w:rPr>
            </w:pPr>
            <w:proofErr w:type="spellStart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>competence</w:t>
            </w:r>
            <w:proofErr w:type="spellEnd"/>
          </w:p>
        </w:tc>
        <w:tc>
          <w:tcPr>
            <w:tcW w:w="8327" w:type="dxa"/>
          </w:tcPr>
          <w:p w:rsidR="00A52B08" w:rsidRPr="00A52B08" w:rsidRDefault="00A52B08" w:rsidP="00050E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Word formation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Polysemy</w:t>
            </w:r>
            <w:r w:rsidR="00F5277B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Synonyms, antonyms and homonyms</w:t>
            </w:r>
          </w:p>
          <w:p w:rsidR="00A52B08" w:rsidRPr="00A52B08" w:rsidRDefault="00A52B08" w:rsidP="00050E94">
            <w:pPr>
              <w:rPr>
                <w:lang w:val="en-US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Job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related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collocations</w:t>
            </w:r>
            <w:proofErr w:type="spellEnd"/>
          </w:p>
        </w:tc>
      </w:tr>
      <w:tr w:rsidR="00A52B08" w:rsidRPr="00A52B08" w:rsidTr="00050E94">
        <w:trPr>
          <w:cantSplit/>
          <w:trHeight w:val="1419"/>
        </w:trPr>
        <w:tc>
          <w:tcPr>
            <w:tcW w:w="534" w:type="dxa"/>
            <w:vMerge/>
            <w:textDirection w:val="btLr"/>
          </w:tcPr>
          <w:p w:rsidR="00A52B08" w:rsidRPr="00A52B08" w:rsidRDefault="00A52B08" w:rsidP="00050E94">
            <w:pPr>
              <w:ind w:left="113" w:right="113"/>
              <w:rPr>
                <w:rFonts w:ascii="ArialMT" w:hAnsi="ArialMT" w:cs="ArialM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A52B08" w:rsidRPr="00A52B08" w:rsidRDefault="00A52B08" w:rsidP="00050E94">
            <w:pPr>
              <w:ind w:left="113" w:right="113"/>
              <w:rPr>
                <w:rFonts w:ascii="ArialMT" w:hAnsi="ArialMT" w:cs="ArialMT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extDirection w:val="btLr"/>
          </w:tcPr>
          <w:p w:rsidR="00A52B08" w:rsidRPr="00F5277B" w:rsidRDefault="00A52B08" w:rsidP="00050E9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proofErr w:type="spellStart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>Grammatical</w:t>
            </w:r>
            <w:proofErr w:type="spellEnd"/>
          </w:p>
          <w:p w:rsidR="00A52B08" w:rsidRPr="00A52B08" w:rsidRDefault="00A52B08" w:rsidP="00050E94">
            <w:pPr>
              <w:ind w:left="113" w:right="113"/>
              <w:jc w:val="center"/>
              <w:rPr>
                <w:rFonts w:ascii="ArialMT" w:hAnsi="ArialMT" w:cs="ArialMT"/>
                <w:sz w:val="20"/>
                <w:szCs w:val="20"/>
                <w:lang w:val="en-US"/>
              </w:rPr>
            </w:pPr>
            <w:proofErr w:type="spellStart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>competence</w:t>
            </w:r>
            <w:proofErr w:type="spellEnd"/>
          </w:p>
        </w:tc>
        <w:tc>
          <w:tcPr>
            <w:tcW w:w="8327" w:type="dxa"/>
          </w:tcPr>
          <w:p w:rsidR="00A52B08" w:rsidRPr="00A52B08" w:rsidRDefault="00A52B08" w:rsidP="00050E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generally accurate application of grammatical material</w:t>
            </w:r>
            <w:r w:rsid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covered at previous levels (verb tenses, modals,</w:t>
            </w:r>
            <w:r w:rsid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comparative degrees of adjectives and adverbs,</w:t>
            </w:r>
          </w:p>
          <w:p w:rsidR="00A52B08" w:rsidRPr="00A52B08" w:rsidRDefault="00A52B08" w:rsidP="00050E9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determiners</w:t>
            </w:r>
            <w:proofErr w:type="gramEnd"/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, prepositions, etc.) in general and professional</w:t>
            </w:r>
            <w:r w:rsid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050E94">
              <w:rPr>
                <w:rFonts w:ascii="ArialMT" w:hAnsi="ArialMT" w:cs="ArialMT"/>
                <w:sz w:val="20"/>
                <w:szCs w:val="20"/>
                <w:lang w:val="en-US"/>
              </w:rPr>
              <w:t>contexts</w:t>
            </w:r>
          </w:p>
        </w:tc>
      </w:tr>
      <w:tr w:rsidR="00A52B08" w:rsidRPr="00A52B08" w:rsidTr="00050E94">
        <w:tc>
          <w:tcPr>
            <w:tcW w:w="1809" w:type="dxa"/>
            <w:gridSpan w:val="3"/>
            <w:vAlign w:val="center"/>
          </w:tcPr>
          <w:p w:rsidR="00A52B08" w:rsidRPr="00F5277B" w:rsidRDefault="00A52B08" w:rsidP="00050E9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proofErr w:type="spellStart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>Sociolinguistic</w:t>
            </w:r>
            <w:proofErr w:type="spellEnd"/>
          </w:p>
          <w:p w:rsidR="00A52B08" w:rsidRPr="00F5277B" w:rsidRDefault="00A52B08" w:rsidP="00050E94">
            <w:pPr>
              <w:jc w:val="center"/>
              <w:rPr>
                <w:b/>
                <w:lang w:val="en-US"/>
              </w:rPr>
            </w:pPr>
            <w:proofErr w:type="spellStart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>competence</w:t>
            </w:r>
            <w:proofErr w:type="spellEnd"/>
          </w:p>
        </w:tc>
        <w:tc>
          <w:tcPr>
            <w:tcW w:w="8327" w:type="dxa"/>
          </w:tcPr>
          <w:p w:rsidR="00A52B08" w:rsidRPr="00A52B08" w:rsidRDefault="00A52B08" w:rsidP="00050E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US"/>
              </w:rPr>
            </w:pP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intercultural awareness rising between Uzbek and other</w:t>
            </w:r>
            <w:r w:rsid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cultures, and the way some of the issues are related to</w:t>
            </w:r>
            <w:r w:rsid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the language, e.g. greetings, modes of address, basic</w:t>
            </w:r>
          </w:p>
          <w:p w:rsidR="00A52B08" w:rsidRPr="00A52B08" w:rsidRDefault="00A52B08" w:rsidP="00050E9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politeness conventions, etc.</w:t>
            </w:r>
            <w:r w:rsid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further work on non-verbal elements of communication in</w:t>
            </w:r>
            <w:r w:rsid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different cultures: body language; non-verbal signals, etc.</w:t>
            </w:r>
            <w:r w:rsid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email and messaging conventions in the foreign language</w:t>
            </w:r>
            <w:r w:rsid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050E94">
              <w:rPr>
                <w:rFonts w:ascii="ArialMT" w:hAnsi="ArialMT" w:cs="ArialMT"/>
                <w:sz w:val="20"/>
                <w:szCs w:val="20"/>
                <w:lang w:val="en-US"/>
              </w:rPr>
              <w:t>as compared with L1</w:t>
            </w:r>
          </w:p>
        </w:tc>
      </w:tr>
      <w:tr w:rsidR="00A52B08" w:rsidRPr="00A52B08" w:rsidTr="00050E94">
        <w:tc>
          <w:tcPr>
            <w:tcW w:w="1809" w:type="dxa"/>
            <w:gridSpan w:val="3"/>
            <w:vAlign w:val="center"/>
          </w:tcPr>
          <w:p w:rsidR="00A52B08" w:rsidRPr="00F5277B" w:rsidRDefault="00A52B08" w:rsidP="00050E9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proofErr w:type="spellStart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>Pragmatic</w:t>
            </w:r>
            <w:proofErr w:type="spellEnd"/>
          </w:p>
          <w:p w:rsidR="00A52B08" w:rsidRPr="00F5277B" w:rsidRDefault="00A52B08" w:rsidP="00050E94">
            <w:pPr>
              <w:jc w:val="center"/>
              <w:rPr>
                <w:b/>
                <w:lang w:val="en-US"/>
              </w:rPr>
            </w:pPr>
            <w:proofErr w:type="spellStart"/>
            <w:r w:rsidRPr="00F5277B">
              <w:rPr>
                <w:rFonts w:ascii="ArialMT" w:hAnsi="ArialMT" w:cs="ArialMT"/>
                <w:b/>
                <w:sz w:val="20"/>
                <w:szCs w:val="20"/>
              </w:rPr>
              <w:t>competence</w:t>
            </w:r>
            <w:proofErr w:type="spellEnd"/>
          </w:p>
        </w:tc>
        <w:tc>
          <w:tcPr>
            <w:tcW w:w="8327" w:type="dxa"/>
          </w:tcPr>
          <w:p w:rsidR="00A52B08" w:rsidRPr="00A52B08" w:rsidRDefault="00A52B08" w:rsidP="00050E9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development of presentation skills</w:t>
            </w:r>
            <w:r w:rsid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linking ideas appropriately in spoken and written discourse,</w:t>
            </w:r>
            <w:r w:rsid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initial awareness of some of the degrees of formality of</w:t>
            </w:r>
            <w:r w:rsid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the language, needed in different social and professional</w:t>
            </w:r>
            <w:r w:rsid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settings,</w:t>
            </w:r>
            <w:r w:rsid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strategies for interrupting, clarifying, slowing a speaker</w:t>
            </w:r>
            <w:r w:rsidR="00050E94">
              <w:rPr>
                <w:rFonts w:ascii="ArialMT" w:hAnsi="ArialMT" w:cs="ArialMT"/>
                <w:sz w:val="20"/>
                <w:szCs w:val="20"/>
                <w:lang w:val="en-US"/>
              </w:rPr>
              <w:t xml:space="preserve"> </w:t>
            </w:r>
            <w:r w:rsidRPr="00A52B08">
              <w:rPr>
                <w:rFonts w:ascii="ArialMT" w:hAnsi="ArialMT" w:cs="ArialMT"/>
                <w:sz w:val="20"/>
                <w:szCs w:val="20"/>
                <w:lang w:val="en-US"/>
              </w:rPr>
              <w:t>down, paraphrasing, and compensating, etc.</w:t>
            </w:r>
          </w:p>
        </w:tc>
      </w:tr>
      <w:bookmarkEnd w:id="0"/>
    </w:tbl>
    <w:p w:rsidR="004A7DA1" w:rsidRPr="00A52B08" w:rsidRDefault="004A7DA1">
      <w:pPr>
        <w:rPr>
          <w:lang w:val="en-US"/>
        </w:rPr>
      </w:pPr>
    </w:p>
    <w:sectPr w:rsidR="004A7DA1" w:rsidRPr="00A52B08" w:rsidSect="00050E9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08"/>
    <w:rsid w:val="00027DB7"/>
    <w:rsid w:val="00050E94"/>
    <w:rsid w:val="004A7DA1"/>
    <w:rsid w:val="00A52B08"/>
    <w:rsid w:val="00F5277B"/>
    <w:rsid w:val="00F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Xasanboy</dc:creator>
  <cp:lastModifiedBy>Xasanboy</cp:lastModifiedBy>
  <cp:revision>1</cp:revision>
  <dcterms:created xsi:type="dcterms:W3CDTF">2017-09-24T07:21:00Z</dcterms:created>
  <dcterms:modified xsi:type="dcterms:W3CDTF">2017-09-24T08:48:00Z</dcterms:modified>
</cp:coreProperties>
</file>